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DE2" w:rsidRPr="00643DE8" w:rsidRDefault="00AA2678">
      <w:pPr>
        <w:rPr>
          <w:rFonts w:ascii="標楷體" w:eastAsia="標楷體" w:hAnsi="標楷體" w:cs="DFKaiShu-SB-Estd-BF" w:hint="eastAsia"/>
          <w:b/>
          <w:color w:val="FF0000"/>
          <w:kern w:val="0"/>
          <w:sz w:val="48"/>
          <w:szCs w:val="28"/>
        </w:rPr>
      </w:pPr>
      <w:r w:rsidRPr="00643DE8">
        <w:rPr>
          <w:rFonts w:ascii="標楷體" w:eastAsia="標楷體" w:hAnsi="標楷體" w:cs="DFKaiShu-SB-Estd-BF" w:hint="eastAsia"/>
          <w:b/>
          <w:color w:val="FF0000"/>
          <w:kern w:val="0"/>
          <w:sz w:val="48"/>
          <w:szCs w:val="28"/>
        </w:rPr>
        <w:t>菸害防制法</w:t>
      </w:r>
    </w:p>
    <w:p w:rsidR="00643DE8" w:rsidRPr="00643DE8" w:rsidRDefault="00643DE8">
      <w:pPr>
        <w:rPr>
          <w:rFonts w:ascii="標楷體" w:eastAsia="標楷體" w:hAnsi="標楷體" w:cs="新細明體" w:hint="eastAsia"/>
          <w:kern w:val="0"/>
          <w:sz w:val="28"/>
          <w:szCs w:val="28"/>
        </w:rPr>
      </w:pPr>
      <w:r w:rsidRPr="00643DE8">
        <w:rPr>
          <w:rFonts w:ascii="標楷體" w:eastAsia="標楷體" w:hAnsi="標楷體" w:cs="新細明體"/>
          <w:b/>
          <w:kern w:val="0"/>
          <w:sz w:val="28"/>
          <w:szCs w:val="28"/>
          <w:shd w:val="pct15" w:color="auto" w:fill="FFFFFF"/>
        </w:rPr>
        <w:t>第12條</w:t>
      </w:r>
      <w:r w:rsidRPr="00643DE8">
        <w:rPr>
          <w:rFonts w:ascii="標楷體" w:eastAsia="標楷體" w:hAnsi="標楷體" w:cs="新細明體"/>
          <w:kern w:val="0"/>
          <w:sz w:val="28"/>
          <w:szCs w:val="28"/>
        </w:rPr>
        <w:t xml:space="preserve">　　未滿十八歲者，不得吸菸。孕婦亦不得吸菸。父母、監護人或其他</w:t>
      </w:r>
      <w:r w:rsidRPr="00643DE8">
        <w:rPr>
          <w:rFonts w:ascii="標楷體" w:eastAsia="標楷體" w:hAnsi="標楷體" w:cs="新細明體" w:hint="eastAsia"/>
          <w:kern w:val="0"/>
          <w:sz w:val="28"/>
          <w:szCs w:val="28"/>
        </w:rPr>
        <w:t xml:space="preserve">   </w:t>
      </w:r>
      <w:r w:rsidRPr="00643DE8">
        <w:rPr>
          <w:rFonts w:ascii="標楷體" w:eastAsia="標楷體" w:hAnsi="標楷體" w:cs="新細明體"/>
          <w:kern w:val="0"/>
          <w:sz w:val="28"/>
          <w:szCs w:val="28"/>
        </w:rPr>
        <w:t>實際為照顧之人應禁止未滿十八歲者吸菸。</w:t>
      </w:r>
      <w:r w:rsidRPr="00643DE8">
        <w:rPr>
          <w:rFonts w:ascii="標楷體" w:eastAsia="標楷體" w:hAnsi="標楷體" w:cs="新細明體"/>
          <w:kern w:val="0"/>
          <w:sz w:val="28"/>
          <w:szCs w:val="28"/>
        </w:rPr>
        <w:br/>
      </w:r>
      <w:r w:rsidRPr="00643DE8">
        <w:rPr>
          <w:rFonts w:ascii="標楷體" w:eastAsia="標楷體" w:hAnsi="標楷體" w:cs="新細明體"/>
          <w:b/>
          <w:kern w:val="0"/>
          <w:sz w:val="28"/>
          <w:szCs w:val="28"/>
          <w:shd w:val="pct15" w:color="auto" w:fill="FFFFFF"/>
        </w:rPr>
        <w:t>第13條</w:t>
      </w:r>
      <w:r w:rsidRPr="00643DE8">
        <w:rPr>
          <w:rFonts w:ascii="標楷體" w:eastAsia="標楷體" w:hAnsi="標楷體" w:cs="新細明體"/>
          <w:kern w:val="0"/>
          <w:sz w:val="28"/>
          <w:szCs w:val="28"/>
        </w:rPr>
        <w:t xml:space="preserve">　　任何人不得供應菸品予未滿十八歲者。任何人不得強迫、引誘或以其他方式使孕婦吸菸。</w:t>
      </w:r>
      <w:r w:rsidRPr="00643DE8">
        <w:rPr>
          <w:rFonts w:ascii="標楷體" w:eastAsia="標楷體" w:hAnsi="標楷體" w:cs="新細明體"/>
          <w:kern w:val="0"/>
          <w:sz w:val="28"/>
          <w:szCs w:val="28"/>
        </w:rPr>
        <w:br/>
      </w:r>
      <w:r w:rsidRPr="00643DE8">
        <w:rPr>
          <w:rFonts w:ascii="標楷體" w:eastAsia="標楷體" w:hAnsi="標楷體" w:cs="新細明體"/>
          <w:b/>
          <w:kern w:val="0"/>
          <w:sz w:val="28"/>
          <w:szCs w:val="28"/>
          <w:shd w:val="pct15" w:color="auto" w:fill="FFFFFF"/>
        </w:rPr>
        <w:t>第14條</w:t>
      </w:r>
      <w:r w:rsidRPr="00643DE8">
        <w:rPr>
          <w:rFonts w:ascii="標楷體" w:eastAsia="標楷體" w:hAnsi="標楷體" w:cs="新細明體"/>
          <w:kern w:val="0"/>
          <w:sz w:val="28"/>
          <w:szCs w:val="28"/>
        </w:rPr>
        <w:t xml:space="preserve">　　任何人不得製造、輸入或販賣菸品形狀之糖果、點心、玩具或其他任何物品。</w:t>
      </w:r>
    </w:p>
    <w:p w:rsidR="00643DE8" w:rsidRPr="00643DE8" w:rsidRDefault="00643DE8" w:rsidP="00643DE8">
      <w:pPr>
        <w:rPr>
          <w:rFonts w:ascii="標楷體" w:eastAsia="標楷體" w:hAnsi="標楷體" w:cs="TTB7CF9C5CtCID-WinCharSetFFFF-H"/>
          <w:kern w:val="0"/>
          <w:sz w:val="28"/>
          <w:szCs w:val="28"/>
        </w:rPr>
      </w:pPr>
      <w:r w:rsidRPr="00643DE8">
        <w:rPr>
          <w:rFonts w:ascii="標楷體" w:eastAsia="標楷體" w:hAnsi="標楷體" w:cs="新細明體" w:hint="eastAsia"/>
          <w:b/>
          <w:kern w:val="0"/>
          <w:sz w:val="28"/>
          <w:szCs w:val="28"/>
          <w:shd w:val="pct15" w:color="auto" w:fill="FFFFFF"/>
        </w:rPr>
        <w:t>第</w:t>
      </w:r>
      <w:r w:rsidRPr="00643DE8">
        <w:rPr>
          <w:rFonts w:ascii="標楷體" w:eastAsia="標楷體" w:hAnsi="標楷體" w:cs="Times New Roman"/>
          <w:b/>
          <w:kern w:val="0"/>
          <w:sz w:val="28"/>
          <w:szCs w:val="28"/>
          <w:shd w:val="pct15" w:color="auto" w:fill="FFFFFF"/>
        </w:rPr>
        <w:t xml:space="preserve">28 </w:t>
      </w:r>
      <w:r w:rsidRPr="00643DE8">
        <w:rPr>
          <w:rFonts w:ascii="標楷體" w:eastAsia="標楷體" w:hAnsi="標楷體" w:cs="TTB7CF9C5CtCID-WinCharSetFFFF-H" w:hint="eastAsia"/>
          <w:b/>
          <w:kern w:val="0"/>
          <w:sz w:val="28"/>
          <w:szCs w:val="28"/>
          <w:shd w:val="pct15" w:color="auto" w:fill="FFFFFF"/>
        </w:rPr>
        <w:t>條</w:t>
      </w:r>
      <w:r w:rsidRPr="00643DE8">
        <w:rPr>
          <w:rFonts w:ascii="標楷體" w:eastAsia="標楷體" w:hAnsi="標楷體" w:cs="TTB7CF9C5CtCID-WinCharSetFFFF-H"/>
          <w:b/>
          <w:kern w:val="0"/>
          <w:sz w:val="28"/>
          <w:szCs w:val="28"/>
        </w:rPr>
        <w:t xml:space="preserve"> </w:t>
      </w:r>
      <w:r w:rsidRPr="00643DE8">
        <w:rPr>
          <w:rFonts w:ascii="標楷體" w:eastAsia="標楷體" w:hAnsi="標楷體" w:cs="TTB7CF9C5CtCID-WinCharSetFFFF-H" w:hint="eastAsia"/>
          <w:b/>
          <w:kern w:val="0"/>
          <w:sz w:val="28"/>
          <w:szCs w:val="28"/>
        </w:rPr>
        <w:t xml:space="preserve"> </w:t>
      </w:r>
      <w:r>
        <w:rPr>
          <w:rFonts w:ascii="標楷體" w:eastAsia="標楷體" w:hAnsi="標楷體" w:cs="TTB7CF9C5CtCID-WinCharSetFFFF-H" w:hint="eastAsia"/>
          <w:kern w:val="0"/>
          <w:sz w:val="28"/>
          <w:szCs w:val="28"/>
        </w:rPr>
        <w:t xml:space="preserve">  </w:t>
      </w:r>
      <w:r w:rsidRPr="00643DE8">
        <w:rPr>
          <w:rFonts w:ascii="標楷體" w:eastAsia="標楷體" w:hAnsi="標楷體" w:cs="TTB7CF9C5CtCID-WinCharSetFFFF-H" w:hint="eastAsia"/>
          <w:kern w:val="0"/>
          <w:sz w:val="28"/>
          <w:szCs w:val="28"/>
        </w:rPr>
        <w:t>違反第十二條第一項規定者，應令其接受戒菸教育；行為人未滿十八歲且未結婚者，並應令其父母或監護人使其到場。</w:t>
      </w:r>
    </w:p>
    <w:p w:rsidR="00643DE8" w:rsidRPr="00643DE8" w:rsidRDefault="00643DE8" w:rsidP="00643DE8">
      <w:pPr>
        <w:autoSpaceDE w:val="0"/>
        <w:autoSpaceDN w:val="0"/>
        <w:adjustRightInd w:val="0"/>
        <w:rPr>
          <w:rFonts w:ascii="標楷體" w:eastAsia="標楷體" w:hAnsi="標楷體" w:cs="TTB7CF9C5CtCID-WinCharSetFFFF-H"/>
          <w:kern w:val="0"/>
          <w:sz w:val="28"/>
          <w:szCs w:val="28"/>
        </w:rPr>
      </w:pPr>
      <w:r w:rsidRPr="00643DE8">
        <w:rPr>
          <w:rFonts w:ascii="標楷體" w:eastAsia="標楷體" w:hAnsi="標楷體" w:cs="TTB7CF9C5CtCID-WinCharSetFFFF-H" w:hint="eastAsia"/>
          <w:kern w:val="0"/>
          <w:sz w:val="28"/>
          <w:szCs w:val="28"/>
        </w:rPr>
        <w:t>無正當理由未依通知接受戒菸教育者，處新臺幣二千元以上一萬元以下罰鍰，並按次連續處罰；行為人未滿十八歲且未結婚者，處罰其父母或監護人。</w:t>
      </w:r>
    </w:p>
    <w:p w:rsidR="00643DE8" w:rsidRPr="00643DE8" w:rsidRDefault="00643DE8" w:rsidP="00643DE8">
      <w:pPr>
        <w:autoSpaceDE w:val="0"/>
        <w:autoSpaceDN w:val="0"/>
        <w:adjustRightInd w:val="0"/>
        <w:rPr>
          <w:rFonts w:ascii="標楷體" w:eastAsia="標楷體" w:hAnsi="標楷體" w:cs="TTB7CF9C5CtCID-WinCharSetFFFF-H"/>
          <w:kern w:val="0"/>
          <w:sz w:val="28"/>
          <w:szCs w:val="28"/>
        </w:rPr>
      </w:pPr>
      <w:r w:rsidRPr="00643DE8">
        <w:rPr>
          <w:rFonts w:ascii="標楷體" w:eastAsia="標楷體" w:hAnsi="標楷體" w:cs="TTB7CF9C5CtCID-WinCharSetFFFF-H" w:hint="eastAsia"/>
          <w:kern w:val="0"/>
          <w:sz w:val="28"/>
          <w:szCs w:val="28"/>
        </w:rPr>
        <w:t>第一項戒菸教育之實施辦法，由中央主管機關定之。</w:t>
      </w:r>
    </w:p>
    <w:p w:rsidR="00643DE8" w:rsidRPr="00643DE8" w:rsidRDefault="00643DE8" w:rsidP="00643DE8">
      <w:pPr>
        <w:autoSpaceDE w:val="0"/>
        <w:autoSpaceDN w:val="0"/>
        <w:adjustRightInd w:val="0"/>
        <w:rPr>
          <w:rFonts w:ascii="標楷體" w:eastAsia="標楷體" w:hAnsi="標楷體" w:cs="TTB7CF9C5CtCID-WinCharSetFFFF-H" w:hint="eastAsia"/>
          <w:kern w:val="0"/>
          <w:sz w:val="28"/>
          <w:szCs w:val="28"/>
        </w:rPr>
      </w:pPr>
      <w:r w:rsidRPr="00643DE8">
        <w:rPr>
          <w:rFonts w:ascii="標楷體" w:eastAsia="標楷體" w:hAnsi="標楷體" w:cs="TTB7CF9C5CtCID-WinCharSetFFFF-H" w:hint="eastAsia"/>
          <w:b/>
          <w:kern w:val="0"/>
          <w:sz w:val="28"/>
          <w:szCs w:val="28"/>
          <w:shd w:val="pct15" w:color="auto" w:fill="FFFFFF"/>
        </w:rPr>
        <w:t>第</w:t>
      </w:r>
      <w:r w:rsidRPr="00643DE8">
        <w:rPr>
          <w:rFonts w:ascii="標楷體" w:eastAsia="標楷體" w:hAnsi="標楷體" w:cs="TTB7CF9C5CtCID-WinCharSetFFFF-H"/>
          <w:b/>
          <w:kern w:val="0"/>
          <w:sz w:val="28"/>
          <w:szCs w:val="28"/>
          <w:shd w:val="pct15" w:color="auto" w:fill="FFFFFF"/>
        </w:rPr>
        <w:t xml:space="preserve"> </w:t>
      </w:r>
      <w:r w:rsidRPr="00643DE8">
        <w:rPr>
          <w:rFonts w:ascii="標楷體" w:eastAsia="標楷體" w:hAnsi="標楷體" w:cs="Times New Roman"/>
          <w:b/>
          <w:kern w:val="0"/>
          <w:sz w:val="28"/>
          <w:szCs w:val="28"/>
          <w:shd w:val="pct15" w:color="auto" w:fill="FFFFFF"/>
        </w:rPr>
        <w:t xml:space="preserve">29 </w:t>
      </w:r>
      <w:r w:rsidRPr="00643DE8">
        <w:rPr>
          <w:rFonts w:ascii="標楷體" w:eastAsia="標楷體" w:hAnsi="標楷體" w:cs="TTB7CF9C5CtCID-WinCharSetFFFF-H" w:hint="eastAsia"/>
          <w:b/>
          <w:kern w:val="0"/>
          <w:sz w:val="28"/>
          <w:szCs w:val="28"/>
          <w:shd w:val="pct15" w:color="auto" w:fill="FFFFFF"/>
        </w:rPr>
        <w:t>條</w:t>
      </w:r>
      <w:r w:rsidRPr="00643DE8">
        <w:rPr>
          <w:rFonts w:ascii="標楷體" w:eastAsia="標楷體" w:hAnsi="標楷體" w:cs="TTB7CF9C5CtCID-WinCharSetFFFF-H"/>
          <w:kern w:val="0"/>
          <w:sz w:val="28"/>
          <w:szCs w:val="28"/>
        </w:rPr>
        <w:t xml:space="preserve"> </w:t>
      </w:r>
      <w:r>
        <w:rPr>
          <w:rFonts w:ascii="標楷體" w:eastAsia="標楷體" w:hAnsi="標楷體" w:cs="TTB7CF9C5CtCID-WinCharSetFFFF-H" w:hint="eastAsia"/>
          <w:kern w:val="0"/>
          <w:sz w:val="28"/>
          <w:szCs w:val="28"/>
        </w:rPr>
        <w:t xml:space="preserve">   </w:t>
      </w:r>
      <w:r w:rsidRPr="00643DE8">
        <w:rPr>
          <w:rFonts w:ascii="標楷體" w:eastAsia="標楷體" w:hAnsi="標楷體" w:cs="TTB7CF9C5CtCID-WinCharSetFFFF-H" w:hint="eastAsia"/>
          <w:kern w:val="0"/>
          <w:sz w:val="28"/>
          <w:szCs w:val="28"/>
        </w:rPr>
        <w:t>違反第十三條規定者，處新臺幣一萬元以上五萬元以下罰鍰。</w:t>
      </w:r>
    </w:p>
    <w:p w:rsidR="00643DE8" w:rsidRPr="00643DE8" w:rsidRDefault="00643DE8" w:rsidP="00643DE8">
      <w:pPr>
        <w:autoSpaceDE w:val="0"/>
        <w:autoSpaceDN w:val="0"/>
        <w:adjustRightInd w:val="0"/>
        <w:rPr>
          <w:rFonts w:ascii="標楷體" w:eastAsia="標楷體" w:hAnsi="標楷體" w:cs="TTB7CF9C5CtCID-WinCharSetFFFF-H"/>
          <w:kern w:val="0"/>
          <w:sz w:val="28"/>
          <w:szCs w:val="28"/>
        </w:rPr>
      </w:pPr>
      <w:r w:rsidRPr="00643DE8">
        <w:rPr>
          <w:rFonts w:ascii="標楷體" w:eastAsia="標楷體" w:hAnsi="標楷體" w:cs="TTB7CF9C5CtCID-WinCharSetFFFF-H" w:hint="eastAsia"/>
          <w:b/>
          <w:kern w:val="0"/>
          <w:sz w:val="28"/>
          <w:szCs w:val="28"/>
          <w:shd w:val="pct15" w:color="auto" w:fill="FFFFFF"/>
        </w:rPr>
        <w:t>第</w:t>
      </w:r>
      <w:r w:rsidRPr="00643DE8">
        <w:rPr>
          <w:rFonts w:ascii="標楷體" w:eastAsia="標楷體" w:hAnsi="標楷體" w:cs="TTB7CF9C5CtCID-WinCharSetFFFF-H"/>
          <w:b/>
          <w:kern w:val="0"/>
          <w:sz w:val="28"/>
          <w:szCs w:val="28"/>
          <w:shd w:val="pct15" w:color="auto" w:fill="FFFFFF"/>
        </w:rPr>
        <w:t xml:space="preserve"> </w:t>
      </w:r>
      <w:r w:rsidRPr="00643DE8">
        <w:rPr>
          <w:rFonts w:ascii="標楷體" w:eastAsia="標楷體" w:hAnsi="標楷體" w:cs="Times New Roman"/>
          <w:b/>
          <w:kern w:val="0"/>
          <w:sz w:val="28"/>
          <w:szCs w:val="28"/>
          <w:shd w:val="pct15" w:color="auto" w:fill="FFFFFF"/>
        </w:rPr>
        <w:t xml:space="preserve">30 </w:t>
      </w:r>
      <w:r w:rsidRPr="00643DE8">
        <w:rPr>
          <w:rFonts w:ascii="標楷體" w:eastAsia="標楷體" w:hAnsi="標楷體" w:cs="TTB7CF9C5CtCID-WinCharSetFFFF-H" w:hint="eastAsia"/>
          <w:b/>
          <w:kern w:val="0"/>
          <w:sz w:val="28"/>
          <w:szCs w:val="28"/>
          <w:shd w:val="pct15" w:color="auto" w:fill="FFFFFF"/>
        </w:rPr>
        <w:t>條</w:t>
      </w:r>
      <w:r w:rsidRPr="00643DE8">
        <w:rPr>
          <w:rFonts w:ascii="標楷體" w:eastAsia="標楷體" w:hAnsi="標楷體" w:cs="TTB7CF9C5CtCID-WinCharSetFFFF-H"/>
          <w:kern w:val="0"/>
          <w:sz w:val="28"/>
          <w:szCs w:val="28"/>
        </w:rPr>
        <w:t xml:space="preserve"> </w:t>
      </w:r>
      <w:r>
        <w:rPr>
          <w:rFonts w:ascii="標楷體" w:eastAsia="標楷體" w:hAnsi="標楷體" w:cs="TTB7CF9C5CtCID-WinCharSetFFFF-H" w:hint="eastAsia"/>
          <w:kern w:val="0"/>
          <w:sz w:val="28"/>
          <w:szCs w:val="28"/>
        </w:rPr>
        <w:t xml:space="preserve">   </w:t>
      </w:r>
      <w:r w:rsidRPr="00643DE8">
        <w:rPr>
          <w:rFonts w:ascii="標楷體" w:eastAsia="標楷體" w:hAnsi="標楷體" w:cs="TTB7CF9C5CtCID-WinCharSetFFFF-H" w:hint="eastAsia"/>
          <w:kern w:val="0"/>
          <w:sz w:val="28"/>
          <w:szCs w:val="28"/>
        </w:rPr>
        <w:t>製造或輸入業者，違反第十四條規定者，處新臺幣一萬元以上五萬元以下罰鍰，並令限期回收；屆期未回收者，按次連續處罰。</w:t>
      </w:r>
    </w:p>
    <w:p w:rsidR="00643DE8" w:rsidRPr="00643DE8" w:rsidRDefault="00643DE8" w:rsidP="00643DE8">
      <w:pPr>
        <w:autoSpaceDE w:val="0"/>
        <w:autoSpaceDN w:val="0"/>
        <w:adjustRightInd w:val="0"/>
        <w:rPr>
          <w:rFonts w:ascii="標楷體" w:eastAsia="標楷體" w:hAnsi="標楷體" w:cs="TTB7CF9C5CtCID-WinCharSetFFFF-H"/>
          <w:kern w:val="0"/>
          <w:sz w:val="28"/>
          <w:szCs w:val="28"/>
        </w:rPr>
      </w:pPr>
      <w:r w:rsidRPr="00643DE8">
        <w:rPr>
          <w:rFonts w:ascii="標楷體" w:eastAsia="標楷體" w:hAnsi="標楷體" w:cs="TTB7CF9C5CtCID-WinCharSetFFFF-H" w:hint="eastAsia"/>
          <w:kern w:val="0"/>
          <w:sz w:val="28"/>
          <w:szCs w:val="28"/>
        </w:rPr>
        <w:t>販賣業者違反第十四條規定者，處新臺幣一千元以上三千元以下罰鍰。</w:t>
      </w:r>
    </w:p>
    <w:p w:rsidR="00643DE8" w:rsidRPr="00643DE8" w:rsidRDefault="00643DE8">
      <w:pPr>
        <w:rPr>
          <w:rFonts w:ascii="標楷體" w:eastAsia="標楷體" w:hAnsi="標楷體" w:cs="新細明體" w:hint="eastAsia"/>
          <w:kern w:val="0"/>
          <w:sz w:val="28"/>
          <w:szCs w:val="28"/>
        </w:rPr>
      </w:pPr>
    </w:p>
    <w:tbl>
      <w:tblPr>
        <w:tblW w:w="5000" w:type="pct"/>
        <w:jc w:val="center"/>
        <w:tblCellSpacing w:w="0" w:type="dxa"/>
        <w:tblCellMar>
          <w:top w:w="30" w:type="dxa"/>
          <w:left w:w="30" w:type="dxa"/>
          <w:bottom w:w="30" w:type="dxa"/>
          <w:right w:w="30" w:type="dxa"/>
        </w:tblCellMar>
        <w:tblLook w:val="04A0"/>
      </w:tblPr>
      <w:tblGrid>
        <w:gridCol w:w="526"/>
        <w:gridCol w:w="10000"/>
      </w:tblGrid>
      <w:tr w:rsidR="00AA2678" w:rsidRPr="00643DE8">
        <w:trPr>
          <w:tblCellSpacing w:w="0" w:type="dxa"/>
          <w:jc w:val="center"/>
        </w:trPr>
        <w:tc>
          <w:tcPr>
            <w:tcW w:w="0" w:type="auto"/>
            <w:gridSpan w:val="2"/>
            <w:vAlign w:val="center"/>
            <w:hideMark/>
          </w:tcPr>
          <w:p w:rsidR="00AA2678" w:rsidRPr="00643DE8" w:rsidRDefault="00AA2678" w:rsidP="00AA2678">
            <w:pPr>
              <w:widowControl/>
              <w:spacing w:before="100" w:beforeAutospacing="1" w:after="100" w:afterAutospacing="1"/>
              <w:outlineLvl w:val="2"/>
              <w:rPr>
                <w:rFonts w:ascii="標楷體" w:eastAsia="標楷體" w:hAnsi="標楷體" w:cs="新細明體"/>
                <w:b/>
                <w:bCs/>
                <w:color w:val="0000FF"/>
                <w:kern w:val="0"/>
                <w:sz w:val="32"/>
                <w:szCs w:val="28"/>
              </w:rPr>
            </w:pPr>
            <w:r w:rsidRPr="00643DE8">
              <w:rPr>
                <w:rFonts w:ascii="標楷體" w:eastAsia="標楷體" w:hAnsi="標楷體" w:cs="新細明體"/>
                <w:b/>
                <w:bCs/>
                <w:color w:val="0000FF"/>
                <w:kern w:val="0"/>
                <w:sz w:val="32"/>
                <w:szCs w:val="28"/>
              </w:rPr>
              <w:t xml:space="preserve">公告「公園綠地為除吸菸區外不得吸菸」 </w:t>
            </w:r>
          </w:p>
        </w:tc>
      </w:tr>
      <w:tr w:rsidR="00AA2678" w:rsidRPr="00643DE8">
        <w:trPr>
          <w:tblCellSpacing w:w="0" w:type="dxa"/>
          <w:jc w:val="center"/>
        </w:trPr>
        <w:tc>
          <w:tcPr>
            <w:tcW w:w="250" w:type="pct"/>
            <w:vAlign w:val="center"/>
            <w:hideMark/>
          </w:tcPr>
          <w:p w:rsidR="00AA2678" w:rsidRPr="00643DE8" w:rsidRDefault="00AA2678" w:rsidP="00AA2678">
            <w:pPr>
              <w:widowControl/>
              <w:rPr>
                <w:rFonts w:ascii="標楷體" w:eastAsia="標楷體" w:hAnsi="標楷體" w:cs="新細明體"/>
                <w:kern w:val="0"/>
                <w:sz w:val="28"/>
                <w:szCs w:val="28"/>
              </w:rPr>
            </w:pPr>
          </w:p>
        </w:tc>
        <w:tc>
          <w:tcPr>
            <w:tcW w:w="4750" w:type="pct"/>
            <w:vAlign w:val="center"/>
            <w:hideMark/>
          </w:tcPr>
          <w:p w:rsidR="00AA2678" w:rsidRPr="00643DE8" w:rsidRDefault="00AA2678" w:rsidP="00AA2678">
            <w:pPr>
              <w:widowControl/>
              <w:rPr>
                <w:rFonts w:ascii="標楷體" w:eastAsia="標楷體" w:hAnsi="標楷體" w:cs="新細明體"/>
                <w:kern w:val="0"/>
                <w:sz w:val="28"/>
                <w:szCs w:val="28"/>
              </w:rPr>
            </w:pPr>
            <w:r w:rsidRPr="00643DE8">
              <w:rPr>
                <w:rFonts w:ascii="標楷體" w:eastAsia="標楷體" w:hAnsi="標楷體" w:cs="新細明體"/>
                <w:kern w:val="0"/>
                <w:sz w:val="28"/>
                <w:szCs w:val="28"/>
              </w:rPr>
              <w:t>主旨：公告「國家公園、國家自然公園、風景特定區及森林遊樂區（如附表所示之區域）與公園綠地為除吸菸區外，不得吸菸；未設吸菸區，全面禁止吸菸之場所」，並自一百零三年四月一日生效。</w:t>
            </w:r>
            <w:r w:rsidRPr="00643DE8">
              <w:rPr>
                <w:rFonts w:ascii="標楷體" w:eastAsia="標楷體" w:hAnsi="標楷體" w:cs="新細明體"/>
                <w:kern w:val="0"/>
                <w:sz w:val="28"/>
                <w:szCs w:val="28"/>
              </w:rPr>
              <w:br/>
            </w:r>
            <w:r w:rsidRPr="00643DE8">
              <w:rPr>
                <w:rFonts w:ascii="標楷體" w:eastAsia="標楷體" w:hAnsi="標楷體" w:cs="新細明體"/>
                <w:kern w:val="0"/>
                <w:sz w:val="28"/>
                <w:szCs w:val="28"/>
              </w:rPr>
              <w:lastRenderedPageBreak/>
              <w:t>依據：菸害防制法第十六條第一項第四款。</w:t>
            </w:r>
            <w:r w:rsidRPr="00643DE8">
              <w:rPr>
                <w:rFonts w:ascii="標楷體" w:eastAsia="標楷體" w:hAnsi="標楷體" w:cs="新細明體"/>
                <w:kern w:val="0"/>
                <w:sz w:val="28"/>
                <w:szCs w:val="28"/>
              </w:rPr>
              <w:br/>
              <w:t>公告事項：旨揭公告之場所如下：</w:t>
            </w:r>
            <w:r w:rsidRPr="00643DE8">
              <w:rPr>
                <w:rFonts w:ascii="標楷體" w:eastAsia="標楷體" w:hAnsi="標楷體" w:cs="新細明體"/>
                <w:kern w:val="0"/>
                <w:sz w:val="28"/>
                <w:szCs w:val="28"/>
              </w:rPr>
              <w:br/>
              <w:t>一、國家公園、國家自然公園、風景特定區及森林遊樂區（如附表所示之區域）。</w:t>
            </w:r>
            <w:r w:rsidRPr="00643DE8">
              <w:rPr>
                <w:rFonts w:ascii="標楷體" w:eastAsia="標楷體" w:hAnsi="標楷體" w:cs="新細明體"/>
                <w:kern w:val="0"/>
                <w:sz w:val="28"/>
                <w:szCs w:val="28"/>
              </w:rPr>
              <w:br/>
              <w:t>二、公園綠地，指依都市計畫法或區域計畫法開闢或其他配合公共工程興建設置供公眾遊憩之公園、綠地。但不包括經劃定為國家公園、國家自然公園、風景特定區及森林遊樂區之公園、綠地。</w:t>
            </w:r>
            <w:r w:rsidRPr="00643DE8">
              <w:rPr>
                <w:rFonts w:ascii="標楷體" w:eastAsia="標楷體" w:hAnsi="標楷體" w:cs="新細明體"/>
                <w:kern w:val="0"/>
                <w:sz w:val="28"/>
                <w:szCs w:val="28"/>
              </w:rPr>
              <w:br/>
              <w:t xml:space="preserve">三、本公告所定場所內如有屬菸害防制法第十五條第一項及第十六條第一項規定之場所，依各該相關規定辦理。 </w:t>
            </w:r>
          </w:p>
        </w:tc>
      </w:tr>
    </w:tbl>
    <w:p w:rsidR="00AA2678" w:rsidRPr="00643DE8" w:rsidRDefault="00AA2678">
      <w:pPr>
        <w:rPr>
          <w:rFonts w:ascii="標楷體" w:eastAsia="標楷體" w:hAnsi="標楷體"/>
          <w:sz w:val="28"/>
          <w:szCs w:val="28"/>
        </w:rPr>
      </w:pPr>
    </w:p>
    <w:tbl>
      <w:tblPr>
        <w:tblW w:w="5000" w:type="pct"/>
        <w:jc w:val="center"/>
        <w:tblCellSpacing w:w="0" w:type="dxa"/>
        <w:tblCellMar>
          <w:top w:w="30" w:type="dxa"/>
          <w:left w:w="30" w:type="dxa"/>
          <w:bottom w:w="30" w:type="dxa"/>
          <w:right w:w="30" w:type="dxa"/>
        </w:tblCellMar>
        <w:tblLook w:val="04A0"/>
      </w:tblPr>
      <w:tblGrid>
        <w:gridCol w:w="526"/>
        <w:gridCol w:w="10000"/>
      </w:tblGrid>
      <w:tr w:rsidR="009C37AC" w:rsidRPr="00643DE8">
        <w:trPr>
          <w:tblCellSpacing w:w="0" w:type="dxa"/>
          <w:jc w:val="center"/>
        </w:trPr>
        <w:tc>
          <w:tcPr>
            <w:tcW w:w="0" w:type="auto"/>
            <w:gridSpan w:val="2"/>
            <w:vAlign w:val="center"/>
            <w:hideMark/>
          </w:tcPr>
          <w:p w:rsidR="009C37AC" w:rsidRPr="00643DE8" w:rsidRDefault="009C37AC" w:rsidP="009C37AC">
            <w:pPr>
              <w:widowControl/>
              <w:spacing w:before="100" w:beforeAutospacing="1" w:after="100" w:afterAutospacing="1"/>
              <w:outlineLvl w:val="2"/>
              <w:rPr>
                <w:rFonts w:ascii="標楷體" w:eastAsia="標楷體" w:hAnsi="標楷體" w:cs="新細明體"/>
                <w:b/>
                <w:bCs/>
                <w:kern w:val="0"/>
                <w:sz w:val="28"/>
                <w:szCs w:val="28"/>
              </w:rPr>
            </w:pPr>
          </w:p>
        </w:tc>
      </w:tr>
      <w:tr w:rsidR="009C37AC" w:rsidRPr="00643DE8">
        <w:trPr>
          <w:tblCellSpacing w:w="0" w:type="dxa"/>
          <w:jc w:val="center"/>
        </w:trPr>
        <w:tc>
          <w:tcPr>
            <w:tcW w:w="250" w:type="pct"/>
            <w:vAlign w:val="center"/>
            <w:hideMark/>
          </w:tcPr>
          <w:p w:rsidR="009C37AC" w:rsidRPr="00643DE8" w:rsidRDefault="009C37AC" w:rsidP="009C37AC">
            <w:pPr>
              <w:widowControl/>
              <w:rPr>
                <w:rFonts w:ascii="標楷體" w:eastAsia="標楷體" w:hAnsi="標楷體" w:cs="新細明體"/>
                <w:kern w:val="0"/>
                <w:sz w:val="28"/>
                <w:szCs w:val="28"/>
              </w:rPr>
            </w:pPr>
          </w:p>
        </w:tc>
        <w:tc>
          <w:tcPr>
            <w:tcW w:w="4750" w:type="pct"/>
            <w:vAlign w:val="center"/>
            <w:hideMark/>
          </w:tcPr>
          <w:p w:rsidR="009C37AC" w:rsidRPr="00643DE8" w:rsidRDefault="009C37AC" w:rsidP="009C37AC">
            <w:pPr>
              <w:widowControl/>
              <w:rPr>
                <w:rFonts w:ascii="標楷體" w:eastAsia="標楷體" w:hAnsi="標楷體" w:cs="新細明體"/>
                <w:kern w:val="0"/>
                <w:sz w:val="28"/>
                <w:szCs w:val="28"/>
              </w:rPr>
            </w:pPr>
          </w:p>
        </w:tc>
      </w:tr>
    </w:tbl>
    <w:p w:rsidR="00AA2678" w:rsidRPr="00643DE8" w:rsidRDefault="00AA2678" w:rsidP="00266620">
      <w:pPr>
        <w:rPr>
          <w:rFonts w:ascii="標楷體" w:eastAsia="標楷體" w:hAnsi="標楷體"/>
          <w:sz w:val="28"/>
          <w:szCs w:val="28"/>
        </w:rPr>
      </w:pPr>
    </w:p>
    <w:sectPr w:rsidR="00AA2678" w:rsidRPr="00643DE8" w:rsidSect="00AA267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334" w:rsidRDefault="00B51334" w:rsidP="009C37AC">
      <w:r>
        <w:separator/>
      </w:r>
    </w:p>
  </w:endnote>
  <w:endnote w:type="continuationSeparator" w:id="1">
    <w:p w:rsidR="00B51334" w:rsidRDefault="00B51334" w:rsidP="009C37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334" w:rsidRDefault="00B51334" w:rsidP="009C37AC">
      <w:r>
        <w:separator/>
      </w:r>
    </w:p>
  </w:footnote>
  <w:footnote w:type="continuationSeparator" w:id="1">
    <w:p w:rsidR="00B51334" w:rsidRDefault="00B51334" w:rsidP="009C37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2678"/>
    <w:rsid w:val="001E167A"/>
    <w:rsid w:val="002512AB"/>
    <w:rsid w:val="00266620"/>
    <w:rsid w:val="00643DE8"/>
    <w:rsid w:val="009C37AC"/>
    <w:rsid w:val="00AA2678"/>
    <w:rsid w:val="00B2676E"/>
    <w:rsid w:val="00B51334"/>
    <w:rsid w:val="00D906DC"/>
    <w:rsid w:val="00EF3F90"/>
    <w:rsid w:val="00FA5DE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DE2"/>
    <w:pPr>
      <w:widowControl w:val="0"/>
    </w:pPr>
  </w:style>
  <w:style w:type="paragraph" w:styleId="3">
    <w:name w:val="heading 3"/>
    <w:basedOn w:val="a"/>
    <w:link w:val="30"/>
    <w:uiPriority w:val="9"/>
    <w:qFormat/>
    <w:rsid w:val="00AA2678"/>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AA2678"/>
    <w:rPr>
      <w:rFonts w:ascii="新細明體" w:eastAsia="新細明體" w:hAnsi="新細明體" w:cs="新細明體"/>
      <w:b/>
      <w:bCs/>
      <w:kern w:val="0"/>
      <w:sz w:val="27"/>
      <w:szCs w:val="27"/>
    </w:rPr>
  </w:style>
  <w:style w:type="paragraph" w:styleId="a3">
    <w:name w:val="Balloon Text"/>
    <w:basedOn w:val="a"/>
    <w:link w:val="a4"/>
    <w:uiPriority w:val="99"/>
    <w:semiHidden/>
    <w:unhideWhenUsed/>
    <w:rsid w:val="00AA267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A2678"/>
    <w:rPr>
      <w:rFonts w:asciiTheme="majorHAnsi" w:eastAsiaTheme="majorEastAsia" w:hAnsiTheme="majorHAnsi" w:cstheme="majorBidi"/>
      <w:sz w:val="18"/>
      <w:szCs w:val="18"/>
    </w:rPr>
  </w:style>
  <w:style w:type="paragraph" w:customStyle="1" w:styleId="unnamed1">
    <w:name w:val="unnamed1"/>
    <w:basedOn w:val="a"/>
    <w:rsid w:val="00AA2678"/>
    <w:pPr>
      <w:widowControl/>
      <w:spacing w:before="100" w:beforeAutospacing="1" w:after="100" w:afterAutospacing="1" w:line="360" w:lineRule="atLeast"/>
    </w:pPr>
    <w:rPr>
      <w:rFonts w:ascii="新細明體" w:eastAsia="新細明體" w:hAnsi="新細明體" w:cs="新細明體"/>
      <w:kern w:val="0"/>
      <w:sz w:val="18"/>
      <w:szCs w:val="18"/>
    </w:rPr>
  </w:style>
  <w:style w:type="character" w:customStyle="1" w:styleId="style21">
    <w:name w:val="style21"/>
    <w:basedOn w:val="a0"/>
    <w:rsid w:val="00AA2678"/>
    <w:rPr>
      <w:b/>
      <w:bCs/>
      <w:color w:val="0066CC"/>
    </w:rPr>
  </w:style>
  <w:style w:type="paragraph" w:styleId="a5">
    <w:name w:val="header"/>
    <w:basedOn w:val="a"/>
    <w:link w:val="a6"/>
    <w:uiPriority w:val="99"/>
    <w:semiHidden/>
    <w:unhideWhenUsed/>
    <w:rsid w:val="009C37AC"/>
    <w:pPr>
      <w:tabs>
        <w:tab w:val="center" w:pos="4153"/>
        <w:tab w:val="right" w:pos="8306"/>
      </w:tabs>
      <w:snapToGrid w:val="0"/>
    </w:pPr>
    <w:rPr>
      <w:sz w:val="20"/>
      <w:szCs w:val="20"/>
    </w:rPr>
  </w:style>
  <w:style w:type="character" w:customStyle="1" w:styleId="a6">
    <w:name w:val="頁首 字元"/>
    <w:basedOn w:val="a0"/>
    <w:link w:val="a5"/>
    <w:uiPriority w:val="99"/>
    <w:semiHidden/>
    <w:rsid w:val="009C37AC"/>
    <w:rPr>
      <w:sz w:val="20"/>
      <w:szCs w:val="20"/>
    </w:rPr>
  </w:style>
  <w:style w:type="paragraph" w:styleId="a7">
    <w:name w:val="footer"/>
    <w:basedOn w:val="a"/>
    <w:link w:val="a8"/>
    <w:uiPriority w:val="99"/>
    <w:semiHidden/>
    <w:unhideWhenUsed/>
    <w:rsid w:val="009C37AC"/>
    <w:pPr>
      <w:tabs>
        <w:tab w:val="center" w:pos="4153"/>
        <w:tab w:val="right" w:pos="8306"/>
      </w:tabs>
      <w:snapToGrid w:val="0"/>
    </w:pPr>
    <w:rPr>
      <w:sz w:val="20"/>
      <w:szCs w:val="20"/>
    </w:rPr>
  </w:style>
  <w:style w:type="character" w:customStyle="1" w:styleId="a8">
    <w:name w:val="頁尾 字元"/>
    <w:basedOn w:val="a0"/>
    <w:link w:val="a7"/>
    <w:uiPriority w:val="99"/>
    <w:semiHidden/>
    <w:rsid w:val="009C37AC"/>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114</Words>
  <Characters>656</Characters>
  <Application>Microsoft Office Word</Application>
  <DocSecurity>0</DocSecurity>
  <Lines>5</Lines>
  <Paragraphs>1</Paragraphs>
  <ScaleCrop>false</ScaleCrop>
  <Company>Your Company Name</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cp:revision>
  <dcterms:created xsi:type="dcterms:W3CDTF">2014-05-08T06:20:00Z</dcterms:created>
  <dcterms:modified xsi:type="dcterms:W3CDTF">2014-05-08T07:13:00Z</dcterms:modified>
</cp:coreProperties>
</file>